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4E6F3" w14:textId="77777777" w:rsidR="00F47568" w:rsidRPr="00F47568" w:rsidRDefault="00F47568" w:rsidP="00F47568">
      <w:pPr>
        <w:spacing w:after="450"/>
        <w:textAlignment w:val="baseline"/>
        <w:outlineLvl w:val="0"/>
        <w:rPr>
          <w:rFonts w:ascii="Libre Baskerville" w:eastAsia="Times New Roman" w:hAnsi="Libre Baskerville" w:cs="Times New Roman"/>
          <w:color w:val="000000"/>
          <w:kern w:val="36"/>
          <w:sz w:val="48"/>
          <w:szCs w:val="48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000000"/>
          <w:kern w:val="36"/>
          <w:sz w:val="48"/>
          <w:szCs w:val="48"/>
          <w:lang w:eastAsia="pl-PL" w:bidi="he-IL"/>
        </w:rPr>
        <w:t>Statut</w:t>
      </w:r>
    </w:p>
    <w:p w14:paraId="35BCBC63" w14:textId="77777777" w:rsidR="00F47568" w:rsidRPr="00F47568" w:rsidRDefault="00F47568" w:rsidP="00F47568">
      <w:pPr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b/>
          <w:bCs/>
          <w:color w:val="191919"/>
          <w:sz w:val="23"/>
          <w:szCs w:val="23"/>
          <w:bdr w:val="none" w:sz="0" w:space="0" w:color="auto" w:frame="1"/>
          <w:lang w:eastAsia="pl-PL" w:bidi="he-IL"/>
        </w:rPr>
        <w:t xml:space="preserve">Statut Polskiego Towarzystwa Studiów </w:t>
      </w:r>
      <w:proofErr w:type="spellStart"/>
      <w:r w:rsidRPr="00F47568">
        <w:rPr>
          <w:rFonts w:ascii="Libre Baskerville" w:eastAsia="Times New Roman" w:hAnsi="Libre Baskerville" w:cs="Times New Roman"/>
          <w:b/>
          <w:bCs/>
          <w:color w:val="191919"/>
          <w:sz w:val="23"/>
          <w:szCs w:val="23"/>
          <w:bdr w:val="none" w:sz="0" w:space="0" w:color="auto" w:frame="1"/>
          <w:lang w:eastAsia="pl-PL" w:bidi="he-IL"/>
        </w:rPr>
        <w:t>Jidyszystycznych</w:t>
      </w:r>
      <w:proofErr w:type="spellEnd"/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I. Postanowienia ogólne</w:t>
      </w:r>
    </w:p>
    <w:p w14:paraId="24940014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§1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 xml:space="preserve">1. Stowarzyszenie pod nazwą Polskie Towarzystwo Studiów </w:t>
      </w:r>
      <w:proofErr w:type="spellStart"/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Jidyszystycznych</w:t>
      </w:r>
      <w:proofErr w:type="spellEnd"/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, zwane dalej Towarzystwem, jest stowarzyszeniem naukowym zrzeszającym osoby zainteresowane badaniem i propagowaniem języka i kultury jidysz w Polsce.</w:t>
      </w:r>
    </w:p>
    <w:p w14:paraId="5CD3B823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2. Towarzystwo działa na podstawie ustawy z dnia 7 kwietnia 1989 r. Prawo o stowarzyszeniach oraz postanowień niniejszego Statutu.</w:t>
      </w:r>
    </w:p>
    <w:p w14:paraId="414BEB62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§ 2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1. Towarzystwo posiada osobowość prawną i podlega wpisowi do Krajowego Rejestru Sądowego.</w:t>
      </w:r>
    </w:p>
    <w:p w14:paraId="1891F22F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2. Towarzystwo powołane jest na czas nieokreślony.</w:t>
      </w:r>
    </w:p>
    <w:p w14:paraId="3204B7E9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§ 3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1. Terenem działania Towarzystwa jest obszar Rzeczpospolitej Polskiej, a siedzibą władz jest Warszawa.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2. Dla realizacji swych celów statutowych Towarzystwo może działać także poza granicami Rzeczpospolitej Polskiej, z poszanowaniem obowiązującego prawa.</w:t>
      </w:r>
    </w:p>
    <w:p w14:paraId="7A104061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§ 4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1. Towarzystwo może należeć do innych organizacji krajowych i międzynarodowych, których cele i zadania nie są sprzeczne z celami Towarzystwa.</w:t>
      </w:r>
    </w:p>
    <w:p w14:paraId="5C82C82A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2. Towarzystwo ma prawo używać pieczęci i odznaki oraz logo zgodnie z obowiązującymi w tym zakresie przepisami.</w:t>
      </w:r>
    </w:p>
    <w:p w14:paraId="2045E7EC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3. Na forum międzynarodowym Towarzystwo może używać nazw w językach obcych.</w:t>
      </w:r>
    </w:p>
    <w:p w14:paraId="34DF1B75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§ 5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1. Towarzystwo opiera swoją działalność na pracy społecznej członków.</w:t>
      </w:r>
    </w:p>
    <w:p w14:paraId="6E2D1F5C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2. Do prowadzenia swoich spraw Towarzystwo może zatrudniać pracowników.</w:t>
      </w:r>
    </w:p>
    <w:p w14:paraId="5418EDAE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lastRenderedPageBreak/>
        <w:t>II. Cele i środki działania</w:t>
      </w:r>
    </w:p>
    <w:p w14:paraId="5B62FD35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§ 6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1. Towarzystwo stawia sobie za cel:</w:t>
      </w:r>
    </w:p>
    <w:p w14:paraId="7F98C1A7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a. przyczynianie się do rozwoju wiedzy naukowej na temat języka i kultury jidysz,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b. ochronę dziedzictwa języka i kultury jidysz.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§ 7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Towarzystwo realizuje swoje cele przez: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 xml:space="preserve">1. projektowanie, prowadzenie i wspieranie badań naukowych w dziedzinie </w:t>
      </w:r>
      <w:proofErr w:type="spellStart"/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jidyszystyki</w:t>
      </w:r>
      <w:proofErr w:type="spellEnd"/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 xml:space="preserve">2. upowszechnianie i popularyzację osiągnięć </w:t>
      </w:r>
      <w:proofErr w:type="spellStart"/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jidyszystyki</w:t>
      </w:r>
      <w:proofErr w:type="spellEnd"/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3. ułatwianie i podtrzymywanie kontaktów wśród swych członków oraz współpracy z ośrodkami i stowarzyszeniami o podobnym profilu w kraju i zagranicą,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4. organizowanie konferencji, seminariów i konkursów,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5. organizowanie kursów językowych,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6. działalność translatorską,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7. wydawanie czasopism i innych publikacji,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8. organizowanie imprez kulturalnych,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9. współdziałanie z jednostkami organizacyjnymi administracji państwowej i samorządowej,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10. tworzenie komitetów i komisji,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11. fundowanie stypendiów i nagród,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12. digitalizację spuścizny języka jidysz,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13. powoływanie placówek edukacyjnych,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14. inicjowanie i realizowanie przedsięwzięć zmierzających do profesjonalnego doskonalenia członków Towarzystwa.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III. Członkowie – ich prawa i obowiązki</w:t>
      </w:r>
    </w:p>
    <w:p w14:paraId="224A16FC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§ 8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1. Członkowie Towarzystwa dzielą się na: zwyczajnych, honorowych i wspierających.</w:t>
      </w:r>
    </w:p>
    <w:p w14:paraId="0F608A01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2. Członkami Towarzystwa mogą być także cudzoziemcy nie będący obywatelami Rzeczypospolitej Polskiej, spełniający warunki, o których mowa w ust.1.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§ 9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1. Wszyscy założyciele Towarzystwa stają się automatycznie członkami zwyczajnymi Towarzystwa.</w:t>
      </w:r>
    </w:p>
    <w:p w14:paraId="059B14A5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 xml:space="preserve">2. Członkiem zwyczajnym może zostać każda osoba fizyczna posiadająca pełną zdolność do czynności prawnych, która pragnie wnieść swój wkład 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lastRenderedPageBreak/>
        <w:t>w postaci pracy społecznej w urzeczywistnienie celów Towarzystwa i złoży pisemną deklarację o przystąpieniu do Towarzystwa.</w:t>
      </w:r>
    </w:p>
    <w:p w14:paraId="2973ADF9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3. Członków zwyczajnych przyjmuje Zarząd Towarzystwa na podstawie pisemnej deklaracji kandydata, zaopiniowanej przez dwóch członków wprowadzających.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§ 10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1. Członek zwyczajny posiada następujące uprawnienia:</w:t>
      </w:r>
    </w:p>
    <w:p w14:paraId="55E5ED7E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a. czynne i bierne prawo wyborcze do władz Towarzystwa na zasadach określonych dalszymi postanowieniami Statutu,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b. prawo zgłaszania wniosków i propozycji oraz wypowiadania opinii w sprawie działalności Towarzystwa,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c. prawo uczestnictwa w zebraniach i konferencjach naukowych organizowanych przez Towarzystwo,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d. prawo brania udziału w innych przedsięwzięciach Towarzystwa, a także korzystania z jego porad, pomocy, zbiorów i urządzeń.</w:t>
      </w:r>
    </w:p>
    <w:p w14:paraId="70D4D1EA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§ 11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Członek zwyczajny zobowiązany jest do:</w:t>
      </w:r>
    </w:p>
    <w:p w14:paraId="2F85E15D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1. Przestrzegania postanowień Statutu, regulaminów i uchwał Towarzystwa.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2. Aktywnego udziału w realizacji celów Towarzystwa oraz dbania o jego rozwój.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3. Wywiązywania się z podjętych w Towarzystwie obowiązków.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4. Terminowego opłacania składek członkowskich raz do roku. Wysokość składek ustala Zarząd, a uchwala Walne Zebranie Członków. W uzasadnionych przypadkach Zarząd może – na pisemny wniosek członka Towarzystwa – odstąpić od pobierania składki członkowskiej przez okres nie dłuższy niż 2 lata.</w:t>
      </w:r>
    </w:p>
    <w:p w14:paraId="3E238114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§ 12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1. Członkostwo zwyczajne ustaje na skutek:</w:t>
      </w:r>
    </w:p>
    <w:p w14:paraId="731BC35D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a. dobrowolnego, zgłoszonego pisemnie Zarządowi wystąpienia z Towarzystwa, po uprzednim uregulowaniu wszelkich zobowiązań,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b. skreślenia przez Zarząd Towarzystwa na skutek: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• zalegania z opłatą składek członkowskich przez okres dwóch lat,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• skazania prawomocnym wyrokiem sądu powszechnego na karę dodatkową utraty praw publicznych.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c. wykluczenia przez Zarząd z Towarzystwa z powodu: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• rażącego naruszenia celów statutowych,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• nieprzestrzegania postanowień i uchwał władz Towarzystwa,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 xml:space="preserve">• braku aktywnej działalności na rzecz Towarzystwa, w tym nieobecności 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lastRenderedPageBreak/>
        <w:t>na czterech kolejnych Walnych Zebraniach,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• uporczywego łamania obowiązków członkowskich.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d. śmierci członka.</w:t>
      </w:r>
    </w:p>
    <w:p w14:paraId="0B22C498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2. Uchwałę o wykluczeniu lub skreśleniu z Towarzystwa podejmuje Zarząd z własnej inicjatywy lub na wniosek Sądu Polubownego. Zarząd jest zobowiązany na piśmie zawiadomić członka o skreśleniu lub wykluczeniu, podając przyczyny skreślenia lub wykluczenia.</w:t>
      </w:r>
    </w:p>
    <w:p w14:paraId="4FDCADCB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3. Wykluczonemu przysługuje prawo odwołania do Walnego Zebrania Członków, które powinno być wniesione w terminie 14 dni od daty otrzymania zawiadomienia. W tym przedmiocie Walne Zebranie Członków orzeka w głosowaniu tajnym większością 2/3 głosów w pierwszym możliwym terminie. Decyzja Walnego Zebrania Członków jest ostateczna i wiążąca. Jeżeli Walne Zebranie Członków nie będzie w stanie podjąć decyzji w sprawie skreślenia lub wykluczenia ze względu na brak wymaganej większości, decyzja Zarządu nie wywołuje żadnych skutków prawnych. W okresie przeprowadzania procedury odwoławczej zainteresowanemu członkowi przysługują wszystkie prawa członkowskie.</w:t>
      </w:r>
    </w:p>
    <w:p w14:paraId="600435E3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§ 13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1. Członkiem honorowym może zostać osoba fizyczna lub prawna, zasłużona dla Towarzystwa przez swoją działalność organizacyjną, zawodową i naukową.</w:t>
      </w:r>
    </w:p>
    <w:p w14:paraId="1C9429F2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2. Tytuł członka honorowego Towarzystwa nadaje Walne Zebranie Członków większością 2/3 głosów.</w:t>
      </w:r>
    </w:p>
    <w:p w14:paraId="7B19F2A4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3. Członek honorowy, oprócz uprawnień członka zwyczajnego, ma prawo uczestnictwa w zebraniach i forach Towarzystwa, a ponadto zwolniony jest z obowiązku opłacania składek.</w:t>
      </w:r>
    </w:p>
    <w:p w14:paraId="2D7E7397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§ 14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1. Członkiem wspierającym może być osoba prawna, instytucja lub podmiot gospodarczy niemający osobowości prawnej, a także osoba fizyczna zainteresowana działalnością Towarzystwa, która zadeklaruje stałe poparcie finansowe na rzecz Towarzystwa i zostanie przyjęta na podstawie deklaracji pisemnej przez Zarząd.</w:t>
      </w:r>
    </w:p>
    <w:p w14:paraId="672544FD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2. Członek wspierający, który nie jest osobą fizyczną, działa w Towarzystwie za pośrednictwem swego przedstawiciela.</w:t>
      </w:r>
    </w:p>
    <w:p w14:paraId="1BD495A6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3. Członek wspierający ma prawo uczestniczenia w zebraniach Towarzystwa z głosem doradczym.</w:t>
      </w:r>
    </w:p>
    <w:p w14:paraId="457DBED2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lastRenderedPageBreak/>
        <w:t>4. Członek wspierający korzysta ze wszystkich praw przysługujących członkom zwyczajnym z wyjątkiem biernego i czynnego prawa wyborczego.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IV. Władze Towarzystwa</w:t>
      </w:r>
    </w:p>
    <w:p w14:paraId="040E5D01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§ 15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1. Władzami Towarzystwa są:</w:t>
      </w:r>
    </w:p>
    <w:p w14:paraId="36129341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a. Walne Zebranie Członków,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b. Zarząd,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c. Komisja Rewizyjna.</w:t>
      </w:r>
    </w:p>
    <w:p w14:paraId="01A7FEAE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2. Kadencja Zarządu i Komisji Rewizyjnej trwa trzy lata.</w:t>
      </w:r>
    </w:p>
    <w:p w14:paraId="24E2196D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3. Uchwały wszystkich władz Towarzystwa zapadają zwykłą większością głosów przy obecności co najmniej 1/3 członków uprawnionych do głosowania, jeżeli dalsze postanowienia Statutu i ustawy nie stanowią inaczej.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 xml:space="preserve">4. Dopuszcza się podejmowanie uchwał za pośrednictwem środków komunikowania się na odległość, takich, jak telefon, faks i </w:t>
      </w:r>
      <w:proofErr w:type="spellStart"/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internet</w:t>
      </w:r>
      <w:proofErr w:type="spellEnd"/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. Szczegółowy sposób działania określają regulaminy organów.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5. W przypadku wystąpienia, wykluczenia lub śmierci członka władz Towarzystwa w trakcie kadencji, skład osobowy władz jest uzupełniany w drodze kooptacji na wolne stanowisko w trybie nadzwyczajnego Walnego Zebrania Członków.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6. Każdy organ władz Towarzystwa uchwala własny regulamin działania.</w:t>
      </w:r>
    </w:p>
    <w:p w14:paraId="10F637A1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§16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1. Najwyższą władzą Towarzystwa jest Walne Zebranie Członków.</w:t>
      </w:r>
    </w:p>
    <w:p w14:paraId="50C0CFFA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2. W Walnym Zebraniu Członków biorą udział:</w:t>
      </w:r>
    </w:p>
    <w:p w14:paraId="0FF779A9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a. z głosem stanowiącym – członkowie zwyczajni i członkowie honorowi,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b. z głosem doradczym – członkowie wspierający, a także zaproszeni goście.</w:t>
      </w:r>
    </w:p>
    <w:p w14:paraId="2402FD5F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§17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1. Walne Zebranie Członków może być zwyczajne lub nadzwyczajne.</w:t>
      </w:r>
    </w:p>
    <w:p w14:paraId="21BEE919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2. Walne Zebranie Członków obraduje według uchwalonego przez siebie regulaminu obrad.</w:t>
      </w:r>
    </w:p>
    <w:p w14:paraId="340137C7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lastRenderedPageBreak/>
        <w:t>3. Zwyczajne Walne Zebranie Członków odbywa się co najmniej raz do roku.</w:t>
      </w:r>
    </w:p>
    <w:p w14:paraId="2DC5A303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4. Walne Zebranie Członków zwołuje Zarząd Towarzystwa, powiadamiając o jego terminie, miejscu i propozycjach porządku obrad wszystkich członków w skuteczny sposób co najmniej 30 dni przed terminem rozpoczęcia obrad.</w:t>
      </w:r>
    </w:p>
    <w:p w14:paraId="120B7C24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5. Obradami Walnego Zebrania Członków kieruje przewodniczący zebrania, wybierany w głosowaniu jawnym zwyczajną większością głosów.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§ 18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1. Nadzwyczajne Walne Zebranie Członków może odbywać się w każdym czasie, w szczególnie uzasadnionych przypadkach.</w:t>
      </w:r>
    </w:p>
    <w:p w14:paraId="5DA62095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2. Nadzwyczajne Walne Zebranie Członków zwołuje Zarząd: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a. z własnej inicjatywy,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b. na żądanie Komisji Rewizyjnej,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c. na pisemny wniosek co najmniej 1/3 członków zwyczajnych.</w:t>
      </w:r>
    </w:p>
    <w:p w14:paraId="493CD41D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3. Zarząd jest zobowiązany zwołać Nadzwyczajne Walne Zebranie Członków w ciągu 21 dni od dnia otrzymania żądania lub wniosku określonego w ust. 1 pkt 2 i 3. O miejscu, terminie i porządku obrad Nadzwyczajnego Walnego Zebrania Członków Zarząd zawiadamia członków co najmniej na 14 dni przed terminem zebrania.</w:t>
      </w:r>
    </w:p>
    <w:p w14:paraId="3DA22A29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4. W przypadku niezwołania przez Zarząd Nadzwyczajnego Walnego Zebrania Członków, w terminie lub trybie określonym w Statucie, uprawnioną władzą do jego zwołania jest Komisja Rewizyjna.</w:t>
      </w:r>
    </w:p>
    <w:p w14:paraId="113847A1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5. Nadzwyczajne Walne Zebranie Członków obraduje wyłącznie nad sprawami, dla których zostało zwołane.</w:t>
      </w:r>
    </w:p>
    <w:p w14:paraId="3720B212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§ 19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1.Uchwały Walnego Zebrania Członków, o ile Statut nie stanowi inaczej, zapadają w głosowaniu jawnym albo tajnym zwykłą większością głosów.</w:t>
      </w:r>
    </w:p>
    <w:p w14:paraId="7C5C3A6C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2. Wybory członków Zarządu i Komisji Rewizyjnej odbywają się w głosowaniu tajnym.</w:t>
      </w:r>
    </w:p>
    <w:p w14:paraId="793A31EC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3. O jawności lub tajności głosowania w pozostałych przypadkach decyduje Walne Zebranie Członków zwykłą większością głosów w głosowaniu jawnym.</w:t>
      </w:r>
    </w:p>
    <w:p w14:paraId="489A3221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lastRenderedPageBreak/>
        <w:t>4. W Walnym Zebraniu Członków powinna uczestniczyć co najmniej 1/2 członków uprawnionych do głosowania w pierwszym terminie, a w drugim – może ono skutecznie obradować bez względu na liczbę członków obecnych na Zebraniu.</w:t>
      </w:r>
    </w:p>
    <w:p w14:paraId="5E81FE84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§ 20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1. Do kompetencji Walnego Zebrania Członków należy:</w:t>
      </w:r>
    </w:p>
    <w:p w14:paraId="3C0E08B0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a. uchwalanie programu działania i głównych kierunków działania Towarzystwa,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b. rozpatrywanie i zatwierdzanie sprawozdań władz Towarzystwa,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c. uchwalanie regulaminu obrad Walnego Zebrania Członków,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d. uchwalanie budżetu Towarzystwa,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e. uchwalanie wysokości składek,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f. udzielanie absolutorium Zarządowi,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g. podejmowanie uchwał w sprawach nabycia lub zbycia majątku nieruchomego i ruchomości o wartości przekraczającej 50 000 zł,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h. wybór członków Zarządu, Komisji Rewizyjnej i stałego członka Sądu Polubownego,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i. uchwalanie Statutu i jego zmian,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j. zatwierdzanie regulaminów działania poszczególnych organów,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k. podejmowanie uchwały w sprawie rozwiązania Towarzystwa i przeznaczeniu jego majątku,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 xml:space="preserve">l. rozpatrywanie wniesionych przez członków </w:t>
      </w:r>
      <w:proofErr w:type="spellStart"/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odwołań</w:t>
      </w:r>
      <w:proofErr w:type="spellEnd"/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 xml:space="preserve"> od uchwał Zarządu oraz orzeczeń Sądu Polubownego,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ł. rozpatrywanie skarg członków Towarzystwa na działalność władz Towarzystwa,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m. nadawanie tytułu członka honorowego Towarzystwa,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n. podejmowanie uchwał w innych sprawach wniesionych pod obrady,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o. podejmowanie decyzji we wszystkich sprawach niezastrzeżonych do kompetencji innych organów.</w:t>
      </w:r>
    </w:p>
    <w:p w14:paraId="01700FA6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2. Zmiana Statutu, odwołanie członków Zarządu, Komisji Rewizyjnej i Sądu Polubownego wymaga kwalifikowanej większości 50% plus 1 głos przy obecności połowy członków Towarzystwa.</w:t>
      </w:r>
    </w:p>
    <w:p w14:paraId="43150043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3. Każdemu członkowi Towarzystwa przysługuje jeden głos.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V. Zarząd Towarzystwa</w:t>
      </w:r>
    </w:p>
    <w:p w14:paraId="17B7E395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§ 21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1. Zarząd składa się z 5-7 członków wybranych przez Walne Zebranie na jedną kadencję.</w:t>
      </w:r>
    </w:p>
    <w:p w14:paraId="04A296E3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2. Zarząd składa się z Prezesa, Wiceprezesa, Sekretarza, Skarbnika i Członków Zarządu.</w:t>
      </w:r>
    </w:p>
    <w:p w14:paraId="6C832814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lastRenderedPageBreak/>
        <w:t>3. Zarząd konstytuuje się na pierwszym zebraniu po wyborach.</w:t>
      </w:r>
    </w:p>
    <w:p w14:paraId="7EA56825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4. 4. Do składania oświadczeń woli w imieniu Towarzystwa, w tym w sprawach majątkowych, uprawnionych jest dwóch członków Zarządu działających łącznie.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§ 22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1. Do kompetencji Zarządu należy:</w:t>
      </w:r>
    </w:p>
    <w:p w14:paraId="2A994E66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a. podejmowanie uchwał w sprawach członkowskich (przyjmowanie, skreślanie, wykluczanie),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b. reprezentowanie Towarzystwa na zewnątrz i działanie w jego imieniu,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c. kierowanie bieżącą pracą Towarzystwa,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d. zwoływanie Walnego Zebrania Członków,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e. prowadzenie spraw niezastrzeżonych dla innych władz Towarzystwa,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f. decydowanie o przystąpieniu Towarzystwa do fundacji, spółek lub innych organizacji,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g. zarządzanie majątkiem i funduszami Towarzystwa oraz określanie przeznaczenia funduszy pochodzących ze spadków, darowizn i ofiarności publicznej,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h. przyjmowanie i zwalnianie pracowników Towarzystwa,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i. rozpatrywanie i zatwierdzenie uchwał o utworzeniu, zawieszeniu i rozwiązaniu komitetów oraz komisji,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j. ustalanie projektu budżetu Towarzystwa i przedkładanie go do zatwierdzenia Walnemu Zebraniu Członków;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k. składanie wniosków do Walnego Zebrania Członków w sprawie nabycia lub zbycia majątku nieruchomego i ruchomego oraz zaciągania zobowiązań o wartości przekraczającej 50 000 zł,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l. podejmowanie decyzji w sprawie zaciągania zobowiązań nieprzekraczających kwoty 50 000 zł,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ł. składanie sprawozdań ze swej działalności na Walnym Zebraniu Członków,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m. prowadzenie dokumentacji członkowskiej,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n. pobieranie składek członkowskich.</w:t>
      </w:r>
    </w:p>
    <w:p w14:paraId="56617BBD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§ 23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Z posiedzeń Zarządu sporządza się protokół, który przechowywany jest w księdze protokołów. Za prowadzenie księgi, innej dokumentacji i organizacji bieżącej pracy biura Zarządu odpowiada Sekretarz Zarządu.</w:t>
      </w:r>
    </w:p>
    <w:p w14:paraId="74D4F5F2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§ 24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 xml:space="preserve">Do prawomocności uchwał Zarządu wystarcza obecność więcej niż połowy jego członków. Uchwały zapadają zwykłą większością głosów. W razie równości liczby głosów decyzję podejmuje Prezes lub w jego zastępstwie Wiceprezes. Do Prezesa lub w jego zastępstwie Wiceprezesa 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lastRenderedPageBreak/>
        <w:t>należy zwoływanie posiedzeń Zarządu. Zwoływane są one w razie potrzeby, nie rzadziej jednak niż raz do roku.</w:t>
      </w:r>
    </w:p>
    <w:p w14:paraId="28EC4186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§ 25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1. Do spraw szczegółowych Zarząd powołuje w miarę potrzeby osobne Komisje, uchwala ich regulaminy i działa w porozumieniu z odpowiednimi władzami, instytucjami i organizacjami. Zarząd może powoływać członków Komisji z ogółu członków Towarzystwa, jednak w każdej z nich musi zasiadać przynajmniej jeden członek Zarządu.</w:t>
      </w:r>
    </w:p>
    <w:p w14:paraId="0A9A67DB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2. W ramach Towarzystwa mogą działać Komitety powoływane przez Zarząd z inicjatywy społecznej dla urzeczywistnienia określonych Statutem zadań Towarzystwa. Komitety działają pod ogólnym nadzorem Zarządu. Za swoją działalność odpowiedzialne są przed Zarządem. Szczegółowe przepisy dotyczące Komitetów określa regulamin zatwierdzony przez Zarząd.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VI. Komisja Rewizyjna</w:t>
      </w:r>
    </w:p>
    <w:p w14:paraId="608EFC8C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§ 26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1. Komisja Rewizyjna jest organem Towarzystwa powołanym do sprawowania kontroli nad jego działalnością. Komisja Rewizyjna składa się z 3-5 członków, to jest: Przewodniczącego, Wiceprzewodniczącego i Członka/ów Komisji wybranych przez Walne Zebranie Członków na jedną kadencję. Do kompetencji Komisji Rewizyjnej należą: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a. kontrola działalności Towarzystwa, a zwłaszcza jego gospodarki finansowej, opłacania składek członkowskich i zarządzania majątkiem Towarzystwa,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b. składanie wniosków w przedmiocie absolutorium dla Zarządu na Walnym Zebraniu Członków,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c. występowanie z wnioskiem o zwołanie Walnego Zebrania Członków,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d. występowanie do Zarządu z wnioskami wynikającymi z przeprowadzonych kontroli,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e. prawo żądania zwołania Nadzwyczajnego Walnego Zebrania Członków, a także prawo żądania zwołania posiedzenia Zarządu,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f. zwołanie Walnego Zebrania Członków, w razie nie zwołania go przez Zarząd w terminie ustalonym Statutem,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g. składanie sprawozdań ze swej działalności na Walnym Zebraniu Członków.</w:t>
      </w:r>
    </w:p>
    <w:p w14:paraId="687B6558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§ 27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1. Uchwały Komisji Rewizyjnej zapadają zwykłą większością głosów, w obecności co najmniej 2/3 jej członków.</w:t>
      </w:r>
    </w:p>
    <w:p w14:paraId="60EBBCAE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2. Członkowie Komisji Rewizyjnej nie mogą pełnić innych funkcji we władzach Towarzystwa.</w:t>
      </w:r>
    </w:p>
    <w:p w14:paraId="4EB245A3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lastRenderedPageBreak/>
        <w:t>3. Komisja Rewizyjna ma prawo żądania od członków i władz Towarzystwa złożenia pisemnych lub ustnych wyjaśnień dotyczących kontrolowanych spraw.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VII. Sąd Polubowny</w:t>
      </w:r>
    </w:p>
    <w:p w14:paraId="282663AB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§ 28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1. Wynikające z działalności Towarzystwa spory między członkami rozstrzyga Sąd Polubowny. Każda ze stron sporu wybiera spośród członków Towarzystwa sędziego, zaś Przewodniczącym Sądu jest jego stały członek wybrany przez Walne Zebranie.</w:t>
      </w:r>
    </w:p>
    <w:p w14:paraId="63CA6EB6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2. Sąd Polubowny zbiera się na pisemny wniosek osoby uprawnionej i ustosunkowuje się do niego na piśmie w terminie nie dłuższym niż jeden miesiąc.</w:t>
      </w:r>
    </w:p>
    <w:p w14:paraId="680622EB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 xml:space="preserve">3. Wnioskodawcy lub stronom sporu przysługuje odwołanie do najbliższego Walnego Zebrania. Przy rozpoznawaniu </w:t>
      </w:r>
      <w:proofErr w:type="spellStart"/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odwołań</w:t>
      </w:r>
      <w:proofErr w:type="spellEnd"/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 xml:space="preserve"> w głosowaniu nie biorą udziału członkowie, którzy rozpatrywali sprawę w ramach Sądu Polubownego.</w:t>
      </w:r>
    </w:p>
    <w:p w14:paraId="4E76734D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4. Orzeczenia Sądu Polubownego zapadają większością głosów w pełnym składzie Sądu.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VIII. Majątek Towarzystwa</w:t>
      </w:r>
    </w:p>
    <w:p w14:paraId="31323A53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§ 29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1. Majątek Towarzystwa składa się z nieruchomości, ruchomości i funduszy Towarzystwa.</w:t>
      </w:r>
    </w:p>
    <w:p w14:paraId="6EF44476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2. Źródłami powstania majątku Towarzystwa są:</w:t>
      </w:r>
    </w:p>
    <w:p w14:paraId="2BF3598E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a. składki członkowskie,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b. darowizny, zapisy i spadki,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c. wpływy z działalności statutowej Towarzystwa,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d. dochody z nieruchomości i ruchomości stanowiących własność lub będących w użytkowaniu Towarzystwa oraz odsetki bankowe,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e. dotacje,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f. subwencje i inne nieodpłatne przysporzenia,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g. dochody ze zbiórek i imprez publicznych,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h. dochody z praw majątkowych.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2. Majątkowy rok obrachunkowy pokrywa się z rokiem kalendarzowym.</w:t>
      </w:r>
    </w:p>
    <w:p w14:paraId="31BF6BA3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3. Towarzystwo prowadzi gospodarkę finansową oraz rachunkowość zgodnie z obowiązującymi przepisami.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IX. Postanowienia końcowe</w:t>
      </w:r>
    </w:p>
    <w:p w14:paraId="179117E5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lastRenderedPageBreak/>
        <w:t>§ 30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1. Towarzystwo rozwiązuje się na podstawie uchwały Walnego Zebrania Członków większością 2/3 głosów przy obecności co najmniej 2/3 członków zwyczajnych Towarzystwa lub w innych przypadkach przewidzianych przepisami prawa.</w:t>
      </w:r>
    </w:p>
    <w:p w14:paraId="344E7134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2. Zmiana Statutu oraz rozwiązanie Towarzystwa mogą być przedmiotem Walnego Zebrania Członków wyłącznie wtedy, gdy sprawy te zostały umieszczone w porządku obrad Walnego Zebrania członków.</w:t>
      </w:r>
    </w:p>
    <w:p w14:paraId="40599688" w14:textId="77777777" w:rsidR="00F47568" w:rsidRPr="00F47568" w:rsidRDefault="00F47568" w:rsidP="00F47568">
      <w:pPr>
        <w:spacing w:after="390"/>
        <w:textAlignment w:val="baseline"/>
        <w:rPr>
          <w:rFonts w:ascii="Libre Baskerville" w:eastAsia="Times New Roman" w:hAnsi="Libre Baskerville" w:cs="Times New Roman"/>
          <w:color w:val="191919"/>
          <w:lang w:eastAsia="pl-PL" w:bidi="he-IL"/>
        </w:rPr>
      </w:pP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t>3. Podejmując uchwałę o rozwiązaniu Towarzystwa Walne Zebranie Członków określa sposób jego likwidacji oraz przeznaczenia majątku Towarzystwa.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§ 31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W sprawach nie uregulowanych niniejszym Statutem mają zastosowanie przepisy ustawy z dnia 7 kwietnia 1989 r. Prawo o stowarzyszeniach. (Dz. U. z 2001 r., Nr 79, poz. 855).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§ 32</w:t>
      </w:r>
      <w:r w:rsidRPr="00F47568">
        <w:rPr>
          <w:rFonts w:ascii="Libre Baskerville" w:eastAsia="Times New Roman" w:hAnsi="Libre Baskerville" w:cs="Times New Roman"/>
          <w:color w:val="191919"/>
          <w:lang w:eastAsia="pl-PL" w:bidi="he-IL"/>
        </w:rPr>
        <w:br/>
        <w:t>Niniejszy Statut uchwalony został na podstawie ustawy z dnia 7 kwietnia 1989 r. Prawo o stowarzyszeniach (Dz.U. Nr. 20 poz. 104 z późniejszymi zmianami) na Zebraniu Założycielskim w dniu 4 marca 2010 roku zgodnie z listą obecności załączoną do wniosku o rejestrację Towarzystwa.</w:t>
      </w:r>
    </w:p>
    <w:p w14:paraId="7CBA34E0" w14:textId="77777777" w:rsidR="00000000" w:rsidRDefault="00000000"/>
    <w:sectPr w:rsidR="002168F3" w:rsidSect="00212AD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re Baskerville">
    <w:panose1 w:val="02000000000000000000"/>
    <w:charset w:val="00"/>
    <w:family w:val="auto"/>
    <w:pitch w:val="variable"/>
    <w:sig w:usb0="A00000BF" w:usb1="50000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68"/>
    <w:rsid w:val="0000224E"/>
    <w:rsid w:val="001A4222"/>
    <w:rsid w:val="00212AD8"/>
    <w:rsid w:val="004D5215"/>
    <w:rsid w:val="007F372D"/>
    <w:rsid w:val="00F4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C42C9D"/>
  <w15:chartTrackingRefBased/>
  <w15:docId w15:val="{AB611AD8-8EB5-D04A-8A78-52A9E9D4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7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7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75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7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75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75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75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75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75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7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7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75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756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756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75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75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75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75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75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7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75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7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75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75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75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756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7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756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7568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F475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he-IL"/>
    </w:rPr>
  </w:style>
  <w:style w:type="character" w:styleId="Pogrubienie">
    <w:name w:val="Strong"/>
    <w:basedOn w:val="Domylnaczcionkaakapitu"/>
    <w:uiPriority w:val="22"/>
    <w:qFormat/>
    <w:rsid w:val="00F475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2610</Words>
  <Characters>15662</Characters>
  <Application>Microsoft Office Word</Application>
  <DocSecurity>0</DocSecurity>
  <Lines>130</Lines>
  <Paragraphs>36</Paragraphs>
  <ScaleCrop>false</ScaleCrop>
  <Company/>
  <LinksUpToDate>false</LinksUpToDate>
  <CharactersWithSpaces>18236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Gluba</dc:creator>
  <cp:keywords/>
  <dc:description/>
  <cp:lastModifiedBy>Aleksandra Gluba</cp:lastModifiedBy>
  <cp:revision>1</cp:revision>
  <dcterms:created xsi:type="dcterms:W3CDTF">2025-07-31T11:57:00Z</dcterms:created>
  <dcterms:modified xsi:type="dcterms:W3CDTF">2025-07-31T11:58:00Z</dcterms:modified>
</cp:coreProperties>
</file>